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7661"/>
      </w:tblGrid>
      <w:tr w:rsidR="00443609" w:rsidRPr="00EA0843" w14:paraId="5F9EAAC9" w14:textId="77777777" w:rsidTr="00264C1C">
        <w:trPr>
          <w:trHeight w:val="1266"/>
        </w:trPr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BD6900B" w14:textId="453D8471" w:rsidR="00443609" w:rsidRPr="00EA0843" w:rsidRDefault="00443609" w:rsidP="00EA084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A08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№ </w:t>
            </w:r>
            <w:r w:rsidR="008379E0" w:rsidRPr="00EA0843">
              <w:rPr>
                <w:rFonts w:ascii="Arial Narrow" w:hAnsi="Arial Narrow"/>
                <w:b/>
                <w:bCs/>
                <w:sz w:val="22"/>
                <w:szCs w:val="22"/>
              </w:rPr>
              <w:t>02</w:t>
            </w:r>
            <w:r w:rsidR="00DE3436" w:rsidRPr="00EA0843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 w:rsidR="00C5580A" w:rsidRPr="00EA0843">
              <w:rPr>
                <w:rFonts w:ascii="Arial Narrow" w:hAnsi="Arial Narro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4099" w:type="pct"/>
            <w:shd w:val="clear" w:color="auto" w:fill="F2F2F2" w:themeFill="background1" w:themeFillShade="F2"/>
            <w:vAlign w:val="center"/>
          </w:tcPr>
          <w:p w14:paraId="79B9D8FA" w14:textId="77777777" w:rsidR="00E83006" w:rsidRDefault="00E83006" w:rsidP="00EA084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3006">
              <w:rPr>
                <w:rFonts w:ascii="Arial Narrow" w:hAnsi="Arial Narrow" w:cs="Arial"/>
                <w:b/>
                <w:bCs/>
                <w:sz w:val="22"/>
                <w:szCs w:val="22"/>
              </w:rPr>
              <w:t>ОТЧЕТ ОБ ИТОГАХ ГОЛОСОВАНИЯ НА ОБЩЕМ СОБРАНИИ АКЦИОНЕРОВ</w:t>
            </w:r>
          </w:p>
          <w:p w14:paraId="595CFE8F" w14:textId="3E3105D7" w:rsidR="004E458C" w:rsidRPr="00EA0843" w:rsidRDefault="00FD197F" w:rsidP="00EA084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A0843">
              <w:rPr>
                <w:rFonts w:ascii="Arial Narrow" w:hAnsi="Arial Narrow"/>
                <w:b/>
                <w:bCs/>
                <w:sz w:val="22"/>
                <w:szCs w:val="22"/>
                <w:lang w:eastAsia="ru-RU"/>
              </w:rPr>
              <w:t xml:space="preserve">АКЦИОНЕРНОГО ОБЩЕСТВА </w:t>
            </w:r>
            <w:r w:rsidR="00632B1E" w:rsidRPr="00EA0843">
              <w:rPr>
                <w:rFonts w:ascii="Arial Narrow" w:eastAsia="Times New Roman" w:hAnsi="Arial Narrow"/>
                <w:b/>
                <w:bCs/>
                <w:kern w:val="0"/>
                <w:sz w:val="22"/>
                <w:szCs w:val="22"/>
                <w:lang w:eastAsia="ru-RU"/>
              </w:rPr>
              <w:t>«</w:t>
            </w:r>
            <w:r w:rsidR="0084621D" w:rsidRPr="00EA0843">
              <w:rPr>
                <w:rFonts w:ascii="Arial Narrow" w:eastAsia="Times New Roman" w:hAnsi="Arial Narrow"/>
                <w:b/>
                <w:bCs/>
                <w:kern w:val="0"/>
                <w:sz w:val="22"/>
                <w:szCs w:val="22"/>
                <w:lang w:eastAsia="ru-RU"/>
              </w:rPr>
              <w:t>РОДИНА</w:t>
            </w:r>
            <w:r w:rsidR="00632B1E" w:rsidRPr="00EA0843">
              <w:rPr>
                <w:rFonts w:ascii="Arial Narrow" w:eastAsia="Times New Roman" w:hAnsi="Arial Narrow"/>
                <w:b/>
                <w:bCs/>
                <w:kern w:val="0"/>
                <w:sz w:val="22"/>
                <w:szCs w:val="22"/>
                <w:lang w:eastAsia="ru-RU"/>
              </w:rPr>
              <w:t>»</w:t>
            </w:r>
          </w:p>
        </w:tc>
      </w:tr>
      <w:tr w:rsidR="00B50A43" w:rsidRPr="00EA0843" w14:paraId="13B77175" w14:textId="77777777" w:rsidTr="008535CA">
        <w:tc>
          <w:tcPr>
            <w:tcW w:w="5000" w:type="pct"/>
            <w:gridSpan w:val="2"/>
            <w:shd w:val="clear" w:color="auto" w:fill="auto"/>
          </w:tcPr>
          <w:p w14:paraId="62E0869D" w14:textId="77777777" w:rsidR="00B50A43" w:rsidRPr="00EA0843" w:rsidRDefault="00B50A43" w:rsidP="00EA084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5A9928F3" w14:textId="2DBAE725" w:rsidR="00B50A43" w:rsidRPr="00EA0843" w:rsidRDefault="00B50A43" w:rsidP="00EA084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A084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Полное фирменное наименование: Акционерное общество </w:t>
            </w:r>
            <w:r w:rsidR="00632B1E" w:rsidRPr="00EA0843">
              <w:rPr>
                <w:rFonts w:ascii="Arial Narrow" w:eastAsia="Calibri" w:hAnsi="Arial Narrow"/>
                <w:kern w:val="0"/>
                <w:sz w:val="22"/>
                <w:szCs w:val="22"/>
              </w:rPr>
              <w:t>«</w:t>
            </w:r>
            <w:r w:rsidRPr="00EA0843">
              <w:rPr>
                <w:rFonts w:ascii="Arial Narrow" w:eastAsia="Calibri" w:hAnsi="Arial Narrow"/>
                <w:kern w:val="0"/>
                <w:sz w:val="22"/>
                <w:szCs w:val="22"/>
              </w:rPr>
              <w:t>Родина</w:t>
            </w:r>
            <w:r w:rsidR="00632B1E" w:rsidRPr="00EA0843">
              <w:rPr>
                <w:rFonts w:ascii="Arial Narrow" w:eastAsia="Calibri" w:hAnsi="Arial Narrow"/>
                <w:kern w:val="0"/>
                <w:sz w:val="22"/>
                <w:szCs w:val="22"/>
              </w:rPr>
              <w:t>»</w:t>
            </w:r>
          </w:p>
          <w:p w14:paraId="40C4CC0B" w14:textId="6706633C" w:rsidR="00B50A43" w:rsidRPr="00EA0843" w:rsidRDefault="00B50A43" w:rsidP="00EA084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A084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Сокращенное наименование: АО </w:t>
            </w:r>
            <w:r w:rsidR="00632B1E" w:rsidRPr="00EA0843">
              <w:rPr>
                <w:rFonts w:ascii="Arial Narrow" w:eastAsia="Calibri" w:hAnsi="Arial Narrow"/>
                <w:kern w:val="0"/>
                <w:sz w:val="22"/>
                <w:szCs w:val="22"/>
              </w:rPr>
              <w:t>«</w:t>
            </w:r>
            <w:r w:rsidRPr="00EA0843">
              <w:rPr>
                <w:rFonts w:ascii="Arial Narrow" w:eastAsia="Calibri" w:hAnsi="Arial Narrow"/>
                <w:kern w:val="0"/>
                <w:sz w:val="22"/>
                <w:szCs w:val="22"/>
              </w:rPr>
              <w:t>Родина</w:t>
            </w:r>
            <w:r w:rsidR="00632B1E" w:rsidRPr="00EA0843">
              <w:rPr>
                <w:rFonts w:ascii="Arial Narrow" w:eastAsia="Calibri" w:hAnsi="Arial Narrow"/>
                <w:kern w:val="0"/>
                <w:sz w:val="22"/>
                <w:szCs w:val="22"/>
              </w:rPr>
              <w:t>»</w:t>
            </w:r>
          </w:p>
          <w:p w14:paraId="58D48CB3" w14:textId="77777777" w:rsidR="00B50A43" w:rsidRPr="00EA0843" w:rsidRDefault="00B50A43" w:rsidP="00EA084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A0843">
              <w:rPr>
                <w:rFonts w:ascii="Arial Narrow" w:eastAsia="Calibri" w:hAnsi="Arial Narrow"/>
                <w:kern w:val="0"/>
                <w:sz w:val="22"/>
                <w:szCs w:val="22"/>
              </w:rPr>
              <w:t>ОГРН: 1022303977376, ИНН: 2334006686</w:t>
            </w:r>
          </w:p>
          <w:p w14:paraId="6D268C89" w14:textId="77777777" w:rsidR="00B50A43" w:rsidRPr="00EA0843" w:rsidRDefault="00B50A43" w:rsidP="00EA084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A0843">
              <w:rPr>
                <w:rFonts w:ascii="Arial Narrow" w:eastAsia="Calibri" w:hAnsi="Arial Narrow"/>
                <w:kern w:val="0"/>
                <w:sz w:val="22"/>
                <w:szCs w:val="22"/>
              </w:rPr>
              <w:t>Адрес: 353715, Краснодарский край, Каневской район, ст. Челбасская, ул. Красная, 119</w:t>
            </w:r>
          </w:p>
          <w:p w14:paraId="7AEA57FB" w14:textId="77777777" w:rsidR="00B50A43" w:rsidRPr="00EA0843" w:rsidRDefault="00B50A43" w:rsidP="00EA0843">
            <w:pPr>
              <w:jc w:val="both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</w:p>
          <w:p w14:paraId="6C78BF74" w14:textId="77777777" w:rsidR="008379E0" w:rsidRPr="00EA0843" w:rsidRDefault="008379E0" w:rsidP="00EA0843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EA0843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Вид общего собрания: внеочередное.</w:t>
            </w:r>
          </w:p>
          <w:p w14:paraId="6F55B827" w14:textId="77777777" w:rsidR="008379E0" w:rsidRPr="00EA0843" w:rsidRDefault="008379E0" w:rsidP="00EA0843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EA0843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Форма проведения общего собрания: заочное голосование.</w:t>
            </w:r>
          </w:p>
          <w:p w14:paraId="4686A97A" w14:textId="3C7755A2" w:rsidR="008379E0" w:rsidRPr="00EA0843" w:rsidRDefault="008379E0" w:rsidP="00EA0843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EA0843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определения лиц, имевших право на участие в общем собрании акционеров Общества: 26.06.2022</w:t>
            </w:r>
          </w:p>
          <w:p w14:paraId="2194497B" w14:textId="310AC463" w:rsidR="008379E0" w:rsidRPr="00EA0843" w:rsidRDefault="008379E0" w:rsidP="00EA0843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EA0843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проведения общего собрания: 20.08.2022</w:t>
            </w:r>
          </w:p>
          <w:p w14:paraId="05738243" w14:textId="051CCC94" w:rsidR="00C5580A" w:rsidRPr="00EA0843" w:rsidRDefault="00C5580A" w:rsidP="00EA0843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3932BD7D" w14:textId="77777777" w:rsidR="00C5580A" w:rsidRPr="00EA0843" w:rsidRDefault="00C5580A" w:rsidP="00EA0843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EA0843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Сведения о регистраторе, выполнявшем функции счетной комиссии:</w:t>
            </w:r>
          </w:p>
          <w:p w14:paraId="6A9C2FB6" w14:textId="77777777" w:rsidR="00C5580A" w:rsidRPr="00EA0843" w:rsidRDefault="00C5580A" w:rsidP="00EA0843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EA0843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Полное фирменное наименование: Акционерное общест</w:t>
            </w:r>
            <w:bookmarkStart w:id="0" w:name="_GoBack"/>
            <w:bookmarkEnd w:id="0"/>
            <w:r w:rsidRPr="00EA0843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во «Реестр».</w:t>
            </w:r>
          </w:p>
          <w:p w14:paraId="04DF4804" w14:textId="77777777" w:rsidR="00C5580A" w:rsidRPr="00EA0843" w:rsidRDefault="00C5580A" w:rsidP="00EA0843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EA0843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Место нахождения: Российская Федерация, г. Москва.</w:t>
            </w:r>
          </w:p>
          <w:p w14:paraId="04DA6E57" w14:textId="77777777" w:rsidR="00C5580A" w:rsidRPr="00EA0843" w:rsidRDefault="00C5580A" w:rsidP="00EA0843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EA0843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Адрес регистратора: 129090, Москва, Б. Балканский пер., д. 20, стр. 1.</w:t>
            </w:r>
          </w:p>
          <w:p w14:paraId="4AC7AB83" w14:textId="1355F1EE" w:rsidR="00C5580A" w:rsidRPr="00EA0843" w:rsidRDefault="00C5580A" w:rsidP="00EA0843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EA0843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Лицо, уполномоченное АО «Реестр»: </w:t>
            </w:r>
            <w:r w:rsidR="008379E0" w:rsidRPr="00EA0843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Ярикова Татьяна Игоревна</w:t>
            </w:r>
          </w:p>
          <w:p w14:paraId="4745DAAF" w14:textId="77777777" w:rsidR="00B50A43" w:rsidRPr="00EA0843" w:rsidRDefault="00B50A43" w:rsidP="00EA0843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5DE34137" w14:textId="77777777" w:rsidR="00B50A43" w:rsidRPr="00EA0843" w:rsidRDefault="00B50A43" w:rsidP="00EA0843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EA0843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Председатель общего собрания акционеров: Недужко Андрей Михайлович</w:t>
            </w:r>
          </w:p>
          <w:p w14:paraId="7249CC6B" w14:textId="77777777" w:rsidR="00B50A43" w:rsidRPr="00EA0843" w:rsidRDefault="00B50A43" w:rsidP="00EA0843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EA0843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Секретарь общего собрания акционеров: Ахиджанов Артур Эдуардович</w:t>
            </w:r>
          </w:p>
          <w:p w14:paraId="1434253A" w14:textId="77777777" w:rsidR="00B50A43" w:rsidRPr="00EA0843" w:rsidRDefault="00B50A43" w:rsidP="00EA0843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1EEEEF3B" w14:textId="77777777" w:rsidR="00E83006" w:rsidRPr="00CC7544" w:rsidRDefault="00E83006" w:rsidP="00E830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CC7544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Дата составления </w:t>
            </w:r>
            <w:r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отчета об итогах голосования на общем собрании</w:t>
            </w:r>
            <w:r w:rsidRPr="00CC7544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 акционеров: 23.08.2022</w:t>
            </w:r>
          </w:p>
          <w:p w14:paraId="692035A9" w14:textId="4B55096B" w:rsidR="00C5580A" w:rsidRPr="00EA0843" w:rsidRDefault="00C5580A" w:rsidP="00EA0843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</w:tc>
      </w:tr>
      <w:tr w:rsidR="003A4F33" w:rsidRPr="00EA0843" w14:paraId="4DAADA10" w14:textId="77777777" w:rsidTr="008535CA">
        <w:tc>
          <w:tcPr>
            <w:tcW w:w="5000" w:type="pct"/>
            <w:gridSpan w:val="2"/>
            <w:shd w:val="clear" w:color="auto" w:fill="auto"/>
          </w:tcPr>
          <w:p w14:paraId="26927F81" w14:textId="77777777" w:rsidR="004F770D" w:rsidRPr="00EA0843" w:rsidRDefault="003A4F33" w:rsidP="00EA084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A0843">
              <w:rPr>
                <w:rFonts w:ascii="Arial Narrow" w:hAnsi="Arial Narrow"/>
                <w:b/>
                <w:sz w:val="22"/>
                <w:szCs w:val="22"/>
              </w:rPr>
              <w:t>Повестка дня собрания:</w:t>
            </w:r>
          </w:p>
          <w:p w14:paraId="3DEC2F10" w14:textId="77777777" w:rsidR="008379E0" w:rsidRPr="00EA0843" w:rsidRDefault="008379E0" w:rsidP="00EA0843">
            <w:pPr>
              <w:pStyle w:val="ab"/>
              <w:numPr>
                <w:ilvl w:val="0"/>
                <w:numId w:val="4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A0843">
              <w:rPr>
                <w:rFonts w:ascii="Arial Narrow" w:hAnsi="Arial Narrow"/>
                <w:sz w:val="22"/>
                <w:szCs w:val="22"/>
              </w:rPr>
              <w:t>О прекращении полномочий управляющей организации.</w:t>
            </w:r>
          </w:p>
          <w:p w14:paraId="6C3D50D2" w14:textId="77777777" w:rsidR="008379E0" w:rsidRPr="00EA0843" w:rsidRDefault="008379E0" w:rsidP="00EA0843">
            <w:pPr>
              <w:pStyle w:val="ab"/>
              <w:numPr>
                <w:ilvl w:val="0"/>
                <w:numId w:val="4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A0843">
              <w:rPr>
                <w:rFonts w:ascii="Arial Narrow" w:hAnsi="Arial Narrow"/>
                <w:sz w:val="22"/>
                <w:szCs w:val="22"/>
              </w:rPr>
              <w:t>О согласии на совершение крупной сделки (Дополнительное соглашение к Кредитному соглашению №01N18L об открытии невозобновляемой кредитной линии в российских рублях от «12» декабря 2017 года, заключаемое с АО «АЛЬФА-БАНК»).</w:t>
            </w:r>
          </w:p>
          <w:p w14:paraId="63B1DE3E" w14:textId="77777777" w:rsidR="008379E0" w:rsidRPr="00EA0843" w:rsidRDefault="008379E0" w:rsidP="00EA0843">
            <w:pPr>
              <w:pStyle w:val="ab"/>
              <w:numPr>
                <w:ilvl w:val="0"/>
                <w:numId w:val="4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A0843">
              <w:rPr>
                <w:rFonts w:ascii="Arial Narrow" w:hAnsi="Arial Narrow"/>
                <w:sz w:val="22"/>
                <w:szCs w:val="22"/>
              </w:rPr>
              <w:t>О согласии на совершение крупной сделки (Дополнительное соглашение к Договору поручительства № 02OA1P002 от «02» июля 2020 года, заключаемое с АО «АЛЬФА-БАНК»).</w:t>
            </w:r>
          </w:p>
          <w:p w14:paraId="1AA1874F" w14:textId="77777777" w:rsidR="008379E0" w:rsidRPr="00EA0843" w:rsidRDefault="008379E0" w:rsidP="00EA0843">
            <w:pPr>
              <w:pStyle w:val="ab"/>
              <w:numPr>
                <w:ilvl w:val="0"/>
                <w:numId w:val="4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A0843">
              <w:rPr>
                <w:rFonts w:ascii="Arial Narrow" w:hAnsi="Arial Narrow"/>
                <w:sz w:val="22"/>
                <w:szCs w:val="22"/>
              </w:rPr>
              <w:t>О согласии на совершение крупной сделки (Дополнительное соглашение к Договору поручительства № 03OE2P010 от «24» мая 2021 года, заключаемое с АО «АЛЬФА-БАНК»).</w:t>
            </w:r>
          </w:p>
          <w:p w14:paraId="2BEA116A" w14:textId="58BE6124" w:rsidR="00C5580A" w:rsidRPr="00EA0843" w:rsidRDefault="008379E0" w:rsidP="00EA0843">
            <w:pPr>
              <w:pStyle w:val="ab"/>
              <w:numPr>
                <w:ilvl w:val="0"/>
                <w:numId w:val="4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A0843">
              <w:rPr>
                <w:rFonts w:ascii="Arial Narrow" w:hAnsi="Arial Narrow"/>
                <w:sz w:val="22"/>
                <w:szCs w:val="22"/>
              </w:rPr>
              <w:t>О согласии на совершение крупной сделки (Дополнительное соглашение к Договору поручительства № 01IP6P011 от «26» января 2017 года, заключаемое с АО «АЛЬФА-БАНК»).</w:t>
            </w:r>
          </w:p>
        </w:tc>
      </w:tr>
    </w:tbl>
    <w:p w14:paraId="52107294" w14:textId="0F3DBF6A" w:rsidR="004F770D" w:rsidRPr="00EA0843" w:rsidRDefault="004F770D" w:rsidP="00EA0843">
      <w:pPr>
        <w:jc w:val="both"/>
        <w:rPr>
          <w:rFonts w:ascii="Arial Narrow" w:hAnsi="Arial Narrow"/>
          <w:sz w:val="22"/>
          <w:szCs w:val="22"/>
        </w:rPr>
      </w:pPr>
    </w:p>
    <w:p w14:paraId="1D50804E" w14:textId="385A145E" w:rsidR="00EA0843" w:rsidRPr="00EA0843" w:rsidRDefault="00EA0843" w:rsidP="00EA0843">
      <w:pPr>
        <w:jc w:val="both"/>
        <w:rPr>
          <w:rFonts w:ascii="Arial Narrow" w:hAnsi="Arial Narrow"/>
          <w:sz w:val="22"/>
          <w:szCs w:val="22"/>
        </w:rPr>
      </w:pPr>
    </w:p>
    <w:p w14:paraId="56955D3F" w14:textId="77777777" w:rsidR="008379E0" w:rsidRPr="00EA0843" w:rsidRDefault="00C5580A" w:rsidP="00EA0843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  <w:r w:rsidRPr="00EA0843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  <w:t>По вопросу повестки дня №1:</w:t>
      </w:r>
    </w:p>
    <w:p w14:paraId="6F064C5B" w14:textId="3D4E16BF" w:rsidR="008379E0" w:rsidRDefault="008379E0" w:rsidP="00EA0843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  <w:t>О прекращении полномочий управляющей организации.</w:t>
      </w:r>
    </w:p>
    <w:p w14:paraId="77CB67A3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</w:p>
    <w:p w14:paraId="06458732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34603260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 xml:space="preserve">1.1. </w:t>
      </w:r>
      <w:r w:rsidRPr="00EA0843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Прекратить полномочия управляющей организации Общества (АО Агрохолдинг «СТЕПЬ», ИНН 7708813052, ОГРН 1147746518017).</w:t>
      </w:r>
    </w:p>
    <w:p w14:paraId="697962F7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0"/>
        <w:gridCol w:w="3660"/>
      </w:tblGrid>
      <w:tr w:rsidR="00EA0843" w:rsidRPr="00EA0843" w14:paraId="55B88B1C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D6929E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C39F06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EA0843" w:rsidRPr="00EA0843" w14:paraId="34BAF27D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BD9A99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E0A8DD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EA0843" w:rsidRPr="00EA0843" w14:paraId="380C3753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F574D7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8FFDE7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</w:t>
            </w:r>
          </w:p>
        </w:tc>
      </w:tr>
    </w:tbl>
    <w:p w14:paraId="47B342AB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lastRenderedPageBreak/>
        <w:t>Кворум по данному вопросу повестки дня имеется.</w:t>
      </w:r>
    </w:p>
    <w:p w14:paraId="431179F4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10806BB2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0"/>
        <w:gridCol w:w="3660"/>
      </w:tblGrid>
      <w:tr w:rsidR="00EA0843" w:rsidRPr="00EA0843" w14:paraId="033F420F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B04E47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B7BFA0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 |  100%*</w:t>
            </w:r>
          </w:p>
        </w:tc>
      </w:tr>
      <w:tr w:rsidR="00EA0843" w:rsidRPr="00EA0843" w14:paraId="01542555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D5E057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0C2780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EA0843" w:rsidRPr="00EA0843" w14:paraId="20E4A9E3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28DA77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51BDA0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EA0843" w:rsidRPr="00EA0843" w14:paraId="2E7914D2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5623FB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AF4F11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7620875D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58F5FB23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6FB04D65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59961A2B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 xml:space="preserve">1.1. </w:t>
      </w:r>
      <w:r w:rsidRPr="00EA0843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Прекратить полномочия управляющей организации Общества (АО Агрохолдинг «СТЕПЬ», ИНН 7708813052, ОГРН 1147746518017).</w:t>
      </w:r>
    </w:p>
    <w:p w14:paraId="5E444841" w14:textId="273631A4" w:rsidR="00C5580A" w:rsidRDefault="00C5580A" w:rsidP="00EA0843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18BECA78" w14:textId="6A6A0A53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1B5E2DE4" w14:textId="77777777" w:rsidR="008379E0" w:rsidRPr="00EA0843" w:rsidRDefault="00C5580A" w:rsidP="00EA0843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  <w:r w:rsidRPr="00EA0843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  <w:t>По вопросу повестки дня №2:</w:t>
      </w:r>
    </w:p>
    <w:p w14:paraId="43C1FFAC" w14:textId="5153D8A4" w:rsidR="00C5580A" w:rsidRDefault="008379E0" w:rsidP="00EA0843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  <w:t>О согласии на совершение крупной сделки (Дополнительное соглашение к Кредитному соглашению №01N18L об открытии невозобновляемой кредитной линии в российских рублях от «12» декабря 2017 года, заключаемое с АО «АЛЬФА-БАНК»).</w:t>
      </w:r>
    </w:p>
    <w:p w14:paraId="3886D215" w14:textId="3457036F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</w:pPr>
    </w:p>
    <w:p w14:paraId="2217C60E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0515BC4A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begin"/>
      </w: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instrText xml:space="preserve"> MERGEFIELD  Decision  \* MERGEFORMAT </w:instrText>
      </w: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separate"/>
      </w: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2.1.Дать согласие на совершение следующей крупной сделки</w:t>
      </w: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t xml:space="preserve"> </w:t>
      </w: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во взаимосвязи с Кредитными соглашениями №03Q26L, №055D8L, №05OE6L, заключенными с АО «АЛЬФА-БАНК»:</w:t>
      </w:r>
    </w:p>
    <w:p w14:paraId="2DE51503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Дополнительное соглашение к Кредитному соглашению №01N18L об открытии невозобновляемой кредитной линии в российских рублях от «12» декабря 2017 года, заключаемое между АО «Родина» («Заемщик») и АО «АЛЬФА-БАНК» («Кредитор»), согласно которому:</w:t>
      </w:r>
    </w:p>
    <w:p w14:paraId="4863DB6C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- Кредитор предоставляет Заемщику денежные средства в российских рублях в форме невозобновляемой кредитной линии с лимитом выдачи в размере 850 000 000,00 (Восемьсот пятьдесят миллионов 00/100) российских рублей, а Заемщик обязуется в порядке и сроки, установленные Соглашением, возвратить Кредиты и уплатить проценты за пользование Кредитами, а также осуществить в пользу Кредитора иные платежи, предусмотренные Соглашением;</w:t>
      </w:r>
    </w:p>
    <w:p w14:paraId="39E59514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- Срок действия Кредитной линии устанавливается с «12» декабря 2017 г. по «11» декабря 2027 г. включительно. Заемщик обязан погасить все полученные Кредиты не позднее даты окончания срока действия Кредитной линии;</w:t>
      </w:r>
    </w:p>
    <w:p w14:paraId="3794E7C0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- Кредиты в течение срока действия Кредитной линии предоставляются на срок до 10 (Десяти) лет. Заемщик обязан погасить все полученные в рамках Соглашения Кредиты не позднее окончания срока действия Кредитной линии;</w:t>
      </w:r>
    </w:p>
    <w:p w14:paraId="668B6F2A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- Кредиты могут быть предоставлены Заемщику в течение Срока действия Кредитной линии. После окончания Периода выборки Кредиты Заемщику не предоставляются;</w:t>
      </w:r>
    </w:p>
    <w:p w14:paraId="0E3483DD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- За пользование каждым Кредитом Заемщик уплачивает Кредитору проценты по ставке, установленной соответствующим Дополнительным соглашением, но не более 15,75% (Пятнадцать целых 75/100 процента) годовых;</w:t>
      </w:r>
    </w:p>
    <w:p w14:paraId="0FB37474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- В случае несвоевременного погашения Кредитов, в том числе, Кредитор вправе начислить Заемщику неустойку в размере действующей процентной ставки, установленной соответствующим Дополнительным соглашением, увеличенной на 4 (Четыре) процентных пункта, в процентах годовых за каждый день просрочки. Неустойка начисляется до даты зачисления всей суммы Кредита на счет Кредитора, включительно;</w:t>
      </w:r>
    </w:p>
    <w:p w14:paraId="72873E56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- В случае несвоевременной уплаты процентов и/или комиссий (если уплата комиссий предусмотрена настоящим Соглашением), в том числе, Кредитор вправе начислить Заемщику неустойку в размере действующей процентной ставки, установленной соответствующим Дополнительным соглашением, увеличенной на 4 (Четыре) процентных пункта, в процентах годовых за каждый день просрочки. Неустойка начисляется до даты зачисления соответствующей суммы задолженности Заемщика на счет Кредитора, включительно.</w:t>
      </w: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fldChar w:fldCharType="end"/>
      </w:r>
    </w:p>
    <w:p w14:paraId="496F4BEC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0"/>
        <w:gridCol w:w="3660"/>
      </w:tblGrid>
      <w:tr w:rsidR="00EA0843" w:rsidRPr="00EA0843" w14:paraId="6B8454D3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C07F1D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D96854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EA0843" w:rsidRPr="00EA0843" w14:paraId="465AC431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B71BA9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AD09B8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EA0843" w:rsidRPr="00EA0843" w14:paraId="66A1CE19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25584E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B96D45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</w:t>
            </w:r>
          </w:p>
        </w:tc>
      </w:tr>
    </w:tbl>
    <w:p w14:paraId="686C93B5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286B85E9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3FFCF87D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0"/>
        <w:gridCol w:w="3660"/>
      </w:tblGrid>
      <w:tr w:rsidR="00EA0843" w:rsidRPr="00EA0843" w14:paraId="57BE488D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D599C4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78E38C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 |  100%*</w:t>
            </w:r>
          </w:p>
        </w:tc>
      </w:tr>
      <w:tr w:rsidR="00EA0843" w:rsidRPr="00EA0843" w14:paraId="760C6594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F22922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20C403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EA0843" w:rsidRPr="00EA0843" w14:paraId="2184361D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A1CB56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0283B9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EA0843" w:rsidRPr="00EA0843" w14:paraId="097DDE7C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1CAB35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E104B2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3CCCE8E7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1C0FC60E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242DBC49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099D1503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begin"/>
      </w: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instrText xml:space="preserve"> MERGEFIELD  Decision  \* MERGEFORMAT </w:instrText>
      </w: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separate"/>
      </w: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2.1.Дать согласие на совершение следующей крупной сделки</w:t>
      </w: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t xml:space="preserve"> </w:t>
      </w: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во взаимосвязи с Кредитными соглашениями №03Q26L, №055D8L, №05OE6L, заключенными с АО «АЛЬФА-БАНК»:</w:t>
      </w:r>
    </w:p>
    <w:p w14:paraId="6A3BDB6B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Дополнительное соглашение к Кредитному соглашению №01N18L об открытии невозобновляемой кредитной линии в российских рублях от «12» декабря 2017 года, заключаемое между АО «Родина» («Заемщик») и АО «АЛЬФА-БАНК» («Кредитор»), согласно которому:</w:t>
      </w:r>
    </w:p>
    <w:p w14:paraId="155D9514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- Кредитор предоставляет Заемщику денежные средства в российских рублях в форме невозобновляемой кредитной линии с лимитом выдачи в размере 850 000 000,00 (Восемьсот пятьдесят миллионов 00/100) российских рублей, а Заемщик обязуется в порядке и сроки, установленные Соглашением, возвратить Кредиты и уплатить проценты за пользование Кредитами, а также осуществить в пользу Кредитора иные платежи, предусмотренные Соглашением;</w:t>
      </w:r>
    </w:p>
    <w:p w14:paraId="422CE7BF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- Срок действия Кредитной линии устанавливается с «12» декабря 2017 г. по «11» декабря 2027 г. включительно. Заемщик обязан погасить все полученные Кредиты не позднее даты окончания срока действия Кредитной линии;</w:t>
      </w:r>
    </w:p>
    <w:p w14:paraId="4FC36F2A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- Кредиты в течение срока действия Кредитной линии предоставляются на срок до 10 (Десяти) лет. Заемщик обязан погасить все полученные в рамках Соглашения Кредиты не позднее окончания срока действия Кредитной линии;</w:t>
      </w:r>
    </w:p>
    <w:p w14:paraId="178C83DD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- Кредиты могут быть предоставлены Заемщику в течение Срока действия Кредитной линии. После окончания Периода выборки Кредиты Заемщику не предоставляются;</w:t>
      </w:r>
    </w:p>
    <w:p w14:paraId="04AB7474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- За пользование каждым Кредитом Заемщик уплачивает Кредитору проценты по ставке, установленной соответствующим Дополнительным соглашением, но не более 15,75% (Пятнадцать целых 75/100 процента) годовых;</w:t>
      </w:r>
    </w:p>
    <w:p w14:paraId="409F3E56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- В случае несвоевременного погашения Кредитов, в том числе, Кредитор вправе начислить Заемщику неустойку в размере действующей процентной ставки, установленной соответствующим Дополнительным соглашением, увеличенной на 4 (Четыре) процентных пункта, в процентах годовых за каждый день просрочки. Неустойка начисляется до даты зачисления всей суммы Кредита на счет Кредитора, включительно;</w:t>
      </w:r>
    </w:p>
    <w:p w14:paraId="3057C781" w14:textId="77777777" w:rsid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- В случае несвоевременной уплаты процентов и/или комиссий (если уплата комиссий предусмотрена настоящим Соглашением), в том числе, Кредитор вправе начислить Заемщику неустойку в размере действующей процентной ставки, установленной соответствующим Дополнительным соглашением, увеличенной на 4 (Четыре) процентных пункта, в процентах годовых за каждый день просрочки. Неустойка начисляется до даты зачисления соответствующей суммы задолженности Заемщика на счет Кредитора, включительно.</w:t>
      </w: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fldChar w:fldCharType="end"/>
      </w:r>
    </w:p>
    <w:p w14:paraId="761E7B9B" w14:textId="77777777" w:rsid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570AC6B2" w14:textId="0A78E47F" w:rsidR="008379E0" w:rsidRDefault="008379E0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  <w:r w:rsidRPr="00EA0843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  <w:t>По вопросу повестки дня №3:</w:t>
      </w:r>
    </w:p>
    <w:p w14:paraId="5AE280ED" w14:textId="38112B3A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Cs/>
          <w:color w:val="080808"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 w:cs="Times New Roman CYR"/>
          <w:bCs/>
          <w:color w:val="080808"/>
          <w:kern w:val="0"/>
          <w:sz w:val="22"/>
          <w:szCs w:val="22"/>
          <w:lang w:eastAsia="ru-RU"/>
        </w:rPr>
        <w:t>О согласии на совершение крупной сделки (Дополнительное соглашение к Договору поручительства № 02OA1P002 от «02» июля 2020 года, заключаемое с АО «АЛЬФА-БАНК»).</w:t>
      </w:r>
    </w:p>
    <w:p w14:paraId="7092BC4C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0CE9DE79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030872BF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begin"/>
      </w: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instrText xml:space="preserve"> MERGEFIELD  Decision  \* MERGEFORMAT </w:instrText>
      </w: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separate"/>
      </w: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3.1.Дать согласие на совершение следующей крупной сделки</w:t>
      </w: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t xml:space="preserve"> </w:t>
      </w: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во взаимосвязи с Договорами поручительства №03OE2P010, №01IP6P011</w:t>
      </w: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t xml:space="preserve">, </w:t>
      </w: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заключенными с АО «АЛЬФА-БАНК»:</w:t>
      </w:r>
    </w:p>
    <w:p w14:paraId="7626B1FF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Дополнительное соглашение к Договору поручительства № 02OA1P002 от «02» июля 2020 года, заключаемое между АО «Родина» («Поручитель») и АО «АЛЬФА-БАНК» («Кредитор») в обеспечение обязательств АО Агрохолдинг «СТЕПЬ» («Должник») по Кредитному соглашению № 02OA1L об открытии невозобновляемой кредитной линии в российских рублях от «25» июня 2020 г., согласно которому:</w:t>
      </w:r>
    </w:p>
    <w:p w14:paraId="45876EB6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 Кредитором и Должником, указанным в Договоре поручительства, принято решение о внесении указанных ниже изменений и/или дополнений в Кредитное соглашение № 02OA1L об открытии невозобновляемой кредитной линии в российских рублях от «25» июня 2020 г.  (далее – «Соглашение»):</w:t>
      </w:r>
    </w:p>
    <w:p w14:paraId="77AF1C3F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1.1. Кредитор и Должник пришли к соглашению, что, начиная с «01» апреля 2022 г. за пользование каждым Кредитом (Кредитами), предоставленным(и) в рамках Соглашения, Должник обязуется уплачивать Кредитору проценты по ставке, установленной соответствующим Дополнительным соглашением, но не более 15,75% (Пятнадцать целых 75/100 процента) годовых.</w:t>
      </w:r>
    </w:p>
    <w:p w14:paraId="13DB9ED1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1.2. Условия пунктов 1.1 настоящего Дополнительного соглашения в соответствии с пунктом 2 статьи 425 ГК РФ применяются к отношениям Кредитора и Должника, возникшим с «01» апреля 2022 г. (включительно).</w:t>
      </w:r>
    </w:p>
    <w:p w14:paraId="6B686A33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2. Поручитель согласен с указанными в пункте 1 выше изменениями и/или дополнениями условий Соглашения.</w:t>
      </w: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fldChar w:fldCharType="end"/>
      </w:r>
    </w:p>
    <w:p w14:paraId="1FBF2229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0"/>
        <w:gridCol w:w="3660"/>
      </w:tblGrid>
      <w:tr w:rsidR="00EA0843" w:rsidRPr="00EA0843" w14:paraId="0EA9CCAC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8E4DA6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45891C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EA0843" w:rsidRPr="00EA0843" w14:paraId="33687955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1D9045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3459DE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EA0843" w:rsidRPr="00EA0843" w14:paraId="7EB894DB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0389FF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D1C67E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</w:t>
            </w:r>
          </w:p>
        </w:tc>
      </w:tr>
    </w:tbl>
    <w:p w14:paraId="0A338189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74FD0E80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2B224B5F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0"/>
        <w:gridCol w:w="3660"/>
      </w:tblGrid>
      <w:tr w:rsidR="00EA0843" w:rsidRPr="00EA0843" w14:paraId="2969152A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B2538D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3C3279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 |  100%*</w:t>
            </w:r>
          </w:p>
        </w:tc>
      </w:tr>
      <w:tr w:rsidR="00EA0843" w:rsidRPr="00EA0843" w14:paraId="25B8CB93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5DB17E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6F0252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EA0843" w:rsidRPr="00EA0843" w14:paraId="1CCAD6E1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667A54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6FBDA3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EA0843" w:rsidRPr="00EA0843" w14:paraId="210F97BF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A24636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6C629A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6E3D4024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3ED2A967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32B9A5DE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171CFA23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begin"/>
      </w: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instrText xml:space="preserve"> MERGEFIELD  Decision  \* MERGEFORMAT </w:instrText>
      </w: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separate"/>
      </w: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3.1.Дать согласие на совершение следующей крупной сделки</w:t>
      </w: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t xml:space="preserve"> </w:t>
      </w: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во взаимосвязи с Договорами поручительства №03OE2P010, №01IP6P011</w:t>
      </w: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t xml:space="preserve">, </w:t>
      </w: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заключенными с АО «АЛЬФА-БАНК»:</w:t>
      </w:r>
    </w:p>
    <w:p w14:paraId="4DB4C4F0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Дополнительное соглашение к Договору поручительства № 02OA1P002 от «02» июля 2020 года, заключаемое между АО «Родина» («Поручитель») и АО «АЛЬФА-БАНК» («Кредитор») в обеспечение обязательств АО Агрохолдинг «СТЕПЬ» («Должник») по Кредитному соглашению № 02OA1L об открытии невозобновляемой кредитной линии в российских рублях от «25» июня 2020 г., согласно которому:</w:t>
      </w:r>
    </w:p>
    <w:p w14:paraId="2AF41C2E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 Кредитором и Должником, указанным в Договоре поручительства, принято решение о внесении указанных ниже изменений и/или дополнений в Кредитное соглашение № 02OA1L об открытии невозобновляемой кредитной линии в российских рублях от «25» июня 2020 г.  (далее – «Соглашение»):</w:t>
      </w:r>
    </w:p>
    <w:p w14:paraId="71E9E740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1.1. Кредитор и Должник пришли к соглашению, что, начиная с «01» апреля 2022 г. за пользование каждым Кредитом (Кредитами), предоставленным(и) в рамках Соглашения, Должник обязуется уплачивать Кредитору проценты по ставке, установленной соответствующим Дополнительным соглашением, но не более 15,75% (Пятнадцать целых 75/100 процента) годовых.</w:t>
      </w:r>
    </w:p>
    <w:p w14:paraId="35597A96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1.2. Условия пунктов 1.1 настоящего Дополнительного соглашения в соответствии с пунктом 2 статьи 425 ГК РФ применяются к отношениям Кредитора и Должника, возникшим с «01» апреля 2022 г. (включительно).</w:t>
      </w:r>
    </w:p>
    <w:p w14:paraId="334E8876" w14:textId="2C1BEF2D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2. Поручитель согласен с указанными в пункте 1 выше изменениями и/или дополнениями условий Соглашения.</w:t>
      </w: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fldChar w:fldCharType="end"/>
      </w:r>
    </w:p>
    <w:p w14:paraId="46B3565B" w14:textId="3E78E50E" w:rsidR="00EA0843" w:rsidRDefault="00EA0843" w:rsidP="00EA0843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</w:p>
    <w:p w14:paraId="3EF82593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</w:p>
    <w:p w14:paraId="53757447" w14:textId="6AF24A3D" w:rsidR="008379E0" w:rsidRDefault="008379E0" w:rsidP="00EA0843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  <w:r w:rsidRPr="00EA0843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  <w:t>По вопросу повестки дня №4:</w:t>
      </w:r>
    </w:p>
    <w:p w14:paraId="6C16EF5B" w14:textId="40F48778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  <w:t>О согласии на совершение крупной сделки (Дополнительное соглашение к Договору поручительства № 03OE2P010 от «24» мая 2021 года, заключаемое с АО «АЛЬФА-БАНК»).</w:t>
      </w:r>
    </w:p>
    <w:p w14:paraId="686CA718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</w:p>
    <w:p w14:paraId="44CD6C29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17BB3604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begin"/>
      </w: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instrText xml:space="preserve"> MERGEFIELD  Decision  \* MERGEFORMAT </w:instrText>
      </w: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separate"/>
      </w: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4.1.Дать согласие на совершение следующей крупной сделки:</w:t>
      </w:r>
    </w:p>
    <w:p w14:paraId="0413F81F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Дополнительное соглашение к Договору поручительства № 03OE2P010 от «24» мая 2021 года, заключаемое между АО «Родина» («Поручитель») и АО «АЛЬФА-БАНК» («Кредитор») в обеспечение обязательств АО Агрохолдинг «СТЕПЬ» («Должник») по Кредитному соглашению № 03OE2L об открытии невозобновляемой кредитной линии в российских рублях от «24» мая 2021 г., согласно которому:</w:t>
      </w:r>
    </w:p>
    <w:p w14:paraId="0D226760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 Кредитором и Должником, указанным в Договоре поручительства, принято решение о внесении указанных ниже изменений и/или дополнений в Кредитное соглашение № 03OE2L об открытии невозобновляемой кредитной линии в российских рублях от «24» мая 2021 г.  (далее – «Соглашение»):</w:t>
      </w:r>
    </w:p>
    <w:p w14:paraId="7BE4847F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1.1. Кредитор и Должник пришли к соглашению, что, начиная с «01» апреля 2022 г. за пользование каждым Кредитом (Кредитами), предоставленным(и) в рамках Соглашения, Должник обязуется уплачивать Кредитору проценты по ставке, установленной соответствующим Дополнительным соглашением, но не более 15,75% (Пятнадцать целых 75/100 процента) годовых.</w:t>
      </w:r>
    </w:p>
    <w:p w14:paraId="08BBE5F0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1.2. Условия пунктов 1.1 настоящего Дополнительного соглашения в соответствии с пунктом 2 статьи 425 ГК РФ применяются к отношениям Кредитора и Должника, возникшим с «01» апреля 2022 г. (включительно).</w:t>
      </w:r>
    </w:p>
    <w:p w14:paraId="2B70EDF3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2. Поручитель согласен с указанными в пункте 1 выше изменениями и/или дополнениями условий Соглашения.</w:t>
      </w: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fldChar w:fldCharType="end"/>
      </w:r>
    </w:p>
    <w:p w14:paraId="26653AE0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0"/>
        <w:gridCol w:w="3660"/>
      </w:tblGrid>
      <w:tr w:rsidR="00EA0843" w:rsidRPr="00EA0843" w14:paraId="0B665086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9074AD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D8C766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EA0843" w:rsidRPr="00EA0843" w14:paraId="57EC79AA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2BEE8E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6BC18A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EA0843" w:rsidRPr="00EA0843" w14:paraId="219CE744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0440E2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39D494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</w:t>
            </w:r>
          </w:p>
        </w:tc>
      </w:tr>
    </w:tbl>
    <w:p w14:paraId="1B60E9B5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6FF27B99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447C9B49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0"/>
        <w:gridCol w:w="3660"/>
      </w:tblGrid>
      <w:tr w:rsidR="00EA0843" w:rsidRPr="00EA0843" w14:paraId="59147983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5E1F59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E5A5BF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 |  100%*</w:t>
            </w:r>
          </w:p>
        </w:tc>
      </w:tr>
      <w:tr w:rsidR="00EA0843" w:rsidRPr="00EA0843" w14:paraId="6D2E8819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866A5D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AB281C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EA0843" w:rsidRPr="00EA0843" w14:paraId="11087572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2808D4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E771DF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EA0843" w:rsidRPr="00EA0843" w14:paraId="551CC8F4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8E4C97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1CFCD8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4C56145A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1D57A720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46B335B7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64208512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begin"/>
      </w: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instrText xml:space="preserve"> MERGEFIELD  Decision  \* MERGEFORMAT </w:instrText>
      </w: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separate"/>
      </w: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4.1.Дать согласие на совершение следующей крупной сделки:</w:t>
      </w:r>
    </w:p>
    <w:p w14:paraId="4E9DEA57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Дополнительное соглашение к Договору поручительства № 03OE2P010 от «24» мая 2021 года, заключаемое между АО «Родина» («Поручитель») и АО «АЛЬФА-БАНК» («Кредитор») в обеспечение обязательств АО Агрохолдинг «СТЕПЬ» («Должник») по Кредитному соглашению № 03OE2L об открытии невозобновляемой кредитной линии в российских рублях от «24» мая 2021 г., согласно которому:</w:t>
      </w:r>
    </w:p>
    <w:p w14:paraId="1B33ED8A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 Кредитором и Должником, указанным в Договоре поручительства, принято решение о внесении указанных ниже изменений и/или дополнений в Кредитное соглашение № 03OE2L об открытии невозобновляемой кредитной линии в российских рублях от «24» мая 2021 г.  (далее – «Соглашение»):</w:t>
      </w:r>
    </w:p>
    <w:p w14:paraId="322C8A1F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1.1. Кредитор и Должник пришли к соглашению, что, начиная с «01» апреля 2022 г. за пользование каждым Кредитом (Кредитами), предоставленным(и) в рамках Соглашения, Должник обязуется уплачивать Кредитору проценты по ставке, установленной соответствующим Дополнительным соглашением, но не более 15,75% (Пятнадцать целых 75/100 процента) годовых.</w:t>
      </w:r>
    </w:p>
    <w:p w14:paraId="71BB8992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1.2. Условия пунктов 1.1 настоящего Дополнительного соглашения в соответствии с пунктом 2 статьи 425 ГК РФ применяются к отношениям Кредитора и Должника, возникшим с «01» апреля 2022 г. (включительно).</w:t>
      </w:r>
    </w:p>
    <w:p w14:paraId="42999CBA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2. Поручитель согласен с указанными в пункте 1 выше изменениями и/или дополнениями условий Соглашения.</w:t>
      </w: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fldChar w:fldCharType="end"/>
      </w:r>
    </w:p>
    <w:p w14:paraId="772F27F4" w14:textId="50C649EC" w:rsidR="00EA0843" w:rsidRDefault="00EA0843" w:rsidP="00EA0843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eastAsia="ru-RU"/>
        </w:rPr>
      </w:pPr>
    </w:p>
    <w:p w14:paraId="620ED48C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eastAsia="ru-RU"/>
        </w:rPr>
      </w:pPr>
    </w:p>
    <w:p w14:paraId="5BFAAAEC" w14:textId="476FECD4" w:rsidR="008379E0" w:rsidRDefault="008379E0" w:rsidP="00EA0843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  <w:r w:rsidRPr="00EA0843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  <w:t>По вопросу повестки дня №5:</w:t>
      </w:r>
    </w:p>
    <w:p w14:paraId="2BDD4C2C" w14:textId="523736B6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  <w:t>О согласии на совершение крупной сделки (Дополнительное соглашение к Договору поручительства № 01IP6P011 от «26» января 2017 года, заключаемое с АО «АЛЬФА-БАНК»).</w:t>
      </w:r>
    </w:p>
    <w:p w14:paraId="76AF9AA8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</w:p>
    <w:p w14:paraId="403002CE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0CE86FFC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begin"/>
      </w: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instrText xml:space="preserve"> MERGEFIELD  Decision  \* MERGEFORMAT </w:instrText>
      </w: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separate"/>
      </w: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5.1.Дать согласие на совершение следующей крупной сделки:</w:t>
      </w:r>
    </w:p>
    <w:p w14:paraId="4C1CC42E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Дополнительное соглашение к Договору поручительства № 01IP6P011 от «26» января 2017 года, заключаемое между АО «Родина» («Поручитель») и АО «АЛЬФА-БАНК» («Кредитор») в обеспечение обязательств АО Агрохолдинг «СТЕПЬ» («Должник») по Кредитному соглашению № 01IP6L об открытии невозобновляемой кредитной линии в российских рублях от «08» декабря 2016 г., согласно которому:</w:t>
      </w:r>
    </w:p>
    <w:p w14:paraId="069EE3F1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 Кредитором и Должником, указанным в Договоре поручительства, принято решение о внесении указанных ниже изменений и/или дополнений в Кредитное соглашение № 01IP6L об открытии невозобновляемой кредитной линии в российских рублях от «08» декабря 2016 г.  (далее – «Соглашение»):</w:t>
      </w:r>
    </w:p>
    <w:p w14:paraId="189B561E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1.1. Кредитор и Должник пришли к соглашению, что за пользование Кредитом, предоставленным в рамках Дополнительного соглашения №01IP6T001 от «09» декабря 2016 г. к Соглашению, Должник обязуется уплачивать Кредитору проценты, начиная с «01» апреля 2022 г. по ставке, установленной соответствующим Дополнительным соглашением, но не более 15,75% (Пятнадцать целых 75/100 процента) годовых.</w:t>
      </w:r>
    </w:p>
    <w:p w14:paraId="1A436DE7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1.2. Условия пункта 1.1 настоящего Дополнительного соглашения в соответствии с пунктом 2 статьи 425 ГК РФ применяются к отношениям Кредитора и Должника, возникшим с «01» апреля 2022 г. (включительно).</w:t>
      </w:r>
    </w:p>
    <w:p w14:paraId="27DC08D1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2. Поручитель согласен с указанными в пункте 1 выше изменениями и/или дополнениями условий Соглашения.</w:t>
      </w: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fldChar w:fldCharType="end"/>
      </w:r>
    </w:p>
    <w:p w14:paraId="3F4B01DB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0"/>
        <w:gridCol w:w="3660"/>
      </w:tblGrid>
      <w:tr w:rsidR="00EA0843" w:rsidRPr="00EA0843" w14:paraId="2062DDF8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9316C9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DDE9E6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EA0843" w:rsidRPr="00EA0843" w14:paraId="66ABD178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EA3C87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20BAD2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EA0843" w:rsidRPr="00EA0843" w14:paraId="7FBB75C1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8FD7DC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590902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</w:t>
            </w:r>
          </w:p>
        </w:tc>
      </w:tr>
    </w:tbl>
    <w:p w14:paraId="55A159D5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2A002FCD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643682C5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0"/>
        <w:gridCol w:w="3660"/>
      </w:tblGrid>
      <w:tr w:rsidR="00EA0843" w:rsidRPr="00EA0843" w14:paraId="0CE888B1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439B5B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ABB918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 |  100%*</w:t>
            </w:r>
          </w:p>
        </w:tc>
      </w:tr>
      <w:tr w:rsidR="00EA0843" w:rsidRPr="00EA0843" w14:paraId="59AC25DA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D09FE7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934433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EA0843" w:rsidRPr="00EA0843" w14:paraId="62955593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35076B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6A6AF0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EA0843" w:rsidRPr="00EA0843" w14:paraId="1EDCF9A2" w14:textId="77777777" w:rsidTr="00EA084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00C0D2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F1F8A7" w14:textId="77777777" w:rsidR="00EA0843" w:rsidRPr="00EA0843" w:rsidRDefault="00EA0843" w:rsidP="00EA08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EA084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1E6182F6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1DE9D94E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2F42592F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EA0843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1F641D5E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begin"/>
      </w: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instrText xml:space="preserve"> MERGEFIELD  Decision  \* MERGEFORMAT </w:instrText>
      </w:r>
      <w:r w:rsidRPr="00EA0843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separate"/>
      </w: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5.1.Дать согласие на совершение следующей крупной сделки:</w:t>
      </w:r>
    </w:p>
    <w:p w14:paraId="5EC768F4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Дополнительное соглашение к Договору поручительства № 01IP6P011 от «26» января 2017 года, заключаемое между АО «Родина» («Поручитель») и АО «АЛЬФА-БАНК» («Кредитор») в обеспечение обязательств АО Агрохолдинг «СТЕПЬ» («Должник») по Кредитному соглашению № 01IP6L об открытии невозобновляемой кредитной линии в российских рублях от «08» декабря 2016 г., согласно которому:</w:t>
      </w:r>
    </w:p>
    <w:p w14:paraId="23122F43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 Кредитором и Должником, указанным в Договоре поручительства, принято решение о внесении указанных ниже изменений и/или дополнений в Кредитное соглашение № 01IP6L об открытии невозобновляемой кредитной линии в российских рублях от «08» декабря 2016 г.  (далее – «Соглашение»):</w:t>
      </w:r>
    </w:p>
    <w:p w14:paraId="0BABCFEC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1.1. Кредитор и Должник пришли к соглашению, что за пользование Кредитом, предоставленным в рамках Дополнительного соглашения №01IP6T001 от «09» декабря 2016 г. к Соглашению, Должник обязуется уплачивать Кредитору проценты, начиная с «01» апреля 2022 г. по ставке, установленной соответствующим Дополнительным соглашением, но не более 15,75% (Пятнадцать целых 75/100 процента) годовых.</w:t>
      </w:r>
    </w:p>
    <w:p w14:paraId="59543526" w14:textId="77777777" w:rsidR="00EA0843" w:rsidRPr="00EA0843" w:rsidRDefault="00EA0843" w:rsidP="00EA0843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1.2. Условия пункта 1.1 настоящего Дополнительного соглашения в соответствии с пунктом 2 статьи 425 ГК РФ применяются к отношениям Кредитора и Должника, возникшим с «01» апреля 2022 г. (включительно).</w:t>
      </w:r>
    </w:p>
    <w:p w14:paraId="0E87D749" w14:textId="77777777" w:rsidR="00EA0843" w:rsidRPr="00EA0843" w:rsidRDefault="00EA0843" w:rsidP="00EA084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2. Поручитель согласен с указанными в пункте 1 выше изменениями и/или дополнениями условий Соглашения.</w:t>
      </w:r>
      <w:r w:rsidRPr="00EA0843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fldChar w:fldCharType="end"/>
      </w:r>
    </w:p>
    <w:p w14:paraId="6AB98297" w14:textId="0C5AD541" w:rsidR="008379E0" w:rsidRPr="00EA0843" w:rsidRDefault="008379E0" w:rsidP="00EA0843">
      <w:pPr>
        <w:jc w:val="both"/>
        <w:rPr>
          <w:rFonts w:ascii="Arial Narrow" w:hAnsi="Arial Narrow"/>
          <w:sz w:val="22"/>
          <w:szCs w:val="22"/>
        </w:rPr>
      </w:pPr>
    </w:p>
    <w:p w14:paraId="13B3C7E7" w14:textId="77777777" w:rsidR="00EA0843" w:rsidRPr="00EA0843" w:rsidRDefault="00EA0843" w:rsidP="00EA0843">
      <w:pPr>
        <w:jc w:val="both"/>
        <w:rPr>
          <w:rFonts w:ascii="Arial Narrow" w:hAnsi="Arial Narrow"/>
          <w:sz w:val="22"/>
          <w:szCs w:val="22"/>
        </w:rPr>
      </w:pPr>
    </w:p>
    <w:p w14:paraId="2D50D8C0" w14:textId="2B3AD509" w:rsidR="00C5580A" w:rsidRDefault="00C5580A" w:rsidP="00EA0843">
      <w:pPr>
        <w:jc w:val="both"/>
        <w:rPr>
          <w:rFonts w:ascii="Arial Narrow" w:hAnsi="Arial Narrow"/>
          <w:sz w:val="22"/>
          <w:szCs w:val="22"/>
        </w:rPr>
      </w:pPr>
    </w:p>
    <w:p w14:paraId="0B0B89D9" w14:textId="54B3F98F" w:rsidR="00EA0843" w:rsidRDefault="00EA0843" w:rsidP="00EA0843">
      <w:pPr>
        <w:jc w:val="both"/>
        <w:rPr>
          <w:rFonts w:ascii="Arial Narrow" w:hAnsi="Arial Narrow"/>
          <w:sz w:val="22"/>
          <w:szCs w:val="22"/>
        </w:rPr>
      </w:pPr>
    </w:p>
    <w:p w14:paraId="1779D7D7" w14:textId="77777777" w:rsidR="00EA0843" w:rsidRPr="00EA0843" w:rsidRDefault="00EA0843" w:rsidP="00EA0843">
      <w:pPr>
        <w:jc w:val="both"/>
        <w:rPr>
          <w:rFonts w:ascii="Arial Narrow" w:hAnsi="Arial Narrow"/>
          <w:sz w:val="22"/>
          <w:szCs w:val="22"/>
        </w:rPr>
      </w:pPr>
    </w:p>
    <w:p w14:paraId="54CAB8C3" w14:textId="001EE357" w:rsidR="004F770D" w:rsidRPr="00EA0843" w:rsidRDefault="004F770D" w:rsidP="00EA0843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08"/>
        <w:gridCol w:w="3447"/>
      </w:tblGrid>
      <w:tr w:rsidR="001073B4" w:rsidRPr="00EA0843" w14:paraId="08CD298E" w14:textId="77777777" w:rsidTr="00303239">
        <w:tc>
          <w:tcPr>
            <w:tcW w:w="6240" w:type="dxa"/>
          </w:tcPr>
          <w:p w14:paraId="42FA2F4D" w14:textId="77777777" w:rsidR="001073B4" w:rsidRPr="00EA0843" w:rsidRDefault="001073B4" w:rsidP="00EA08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A0843">
              <w:rPr>
                <w:rFonts w:ascii="Arial Narrow" w:hAnsi="Arial Narrow"/>
                <w:b/>
                <w:sz w:val="22"/>
                <w:szCs w:val="22"/>
              </w:rPr>
              <w:t xml:space="preserve">Председатель общего собрания акционеров </w:t>
            </w:r>
          </w:p>
          <w:p w14:paraId="12F569ED" w14:textId="22DC6C77" w:rsidR="001073B4" w:rsidRPr="00EA0843" w:rsidRDefault="001073B4" w:rsidP="00EA08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A0843">
              <w:rPr>
                <w:rFonts w:ascii="Arial Narrow" w:hAnsi="Arial Narrow"/>
                <w:b/>
                <w:sz w:val="22"/>
                <w:szCs w:val="22"/>
              </w:rPr>
              <w:t xml:space="preserve">АО </w:t>
            </w:r>
            <w:r w:rsidR="00632B1E" w:rsidRPr="00EA0843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2F2155" w:rsidRPr="00EA0843">
              <w:rPr>
                <w:rFonts w:ascii="Arial Narrow" w:hAnsi="Arial Narrow"/>
                <w:b/>
                <w:sz w:val="22"/>
                <w:szCs w:val="22"/>
              </w:rPr>
              <w:t>Родина</w:t>
            </w:r>
            <w:r w:rsidR="00632B1E" w:rsidRPr="00EA0843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14:paraId="6BED717A" w14:textId="77777777" w:rsidR="008511BB" w:rsidRPr="00EA0843" w:rsidRDefault="008511BB" w:rsidP="00EA08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173164" w14:textId="77777777" w:rsidR="001073B4" w:rsidRPr="00EA0843" w:rsidRDefault="001073B4" w:rsidP="00EA08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2740FF" w14:textId="392171CA" w:rsidR="00C82591" w:rsidRPr="00EA0843" w:rsidRDefault="00C82591" w:rsidP="00EA08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14" w:type="dxa"/>
          </w:tcPr>
          <w:p w14:paraId="6FF52ADC" w14:textId="77777777" w:rsidR="006B4211" w:rsidRPr="00EA0843" w:rsidRDefault="006B4211" w:rsidP="00EA084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7A2AEA" w14:textId="71AEC408" w:rsidR="001073B4" w:rsidRPr="00EA0843" w:rsidRDefault="008450BF" w:rsidP="00EA084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A0843">
              <w:rPr>
                <w:rFonts w:ascii="Arial Narrow" w:hAnsi="Arial Narrow"/>
                <w:b/>
                <w:sz w:val="22"/>
                <w:szCs w:val="22"/>
              </w:rPr>
              <w:t>Недужко А.М</w:t>
            </w:r>
            <w:r w:rsidR="006B4211" w:rsidRPr="00EA084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1073B4" w:rsidRPr="00EA0843" w14:paraId="53285604" w14:textId="77777777" w:rsidTr="00303239">
        <w:tc>
          <w:tcPr>
            <w:tcW w:w="6240" w:type="dxa"/>
          </w:tcPr>
          <w:p w14:paraId="66B64686" w14:textId="77777777" w:rsidR="00B50A43" w:rsidRPr="00EA0843" w:rsidRDefault="001073B4" w:rsidP="00EA08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A0843">
              <w:rPr>
                <w:rFonts w:ascii="Arial Narrow" w:hAnsi="Arial Narrow"/>
                <w:b/>
                <w:sz w:val="22"/>
                <w:szCs w:val="22"/>
              </w:rPr>
              <w:t xml:space="preserve">Секретарь общего собрания акционеров </w:t>
            </w:r>
          </w:p>
          <w:p w14:paraId="520678C1" w14:textId="77777777" w:rsidR="001073B4" w:rsidRPr="00EA0843" w:rsidRDefault="001073B4" w:rsidP="00EA08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A0843">
              <w:rPr>
                <w:rFonts w:ascii="Arial Narrow" w:hAnsi="Arial Narrow"/>
                <w:b/>
                <w:sz w:val="22"/>
                <w:szCs w:val="22"/>
              </w:rPr>
              <w:t xml:space="preserve">АО </w:t>
            </w:r>
            <w:r w:rsidR="00632B1E" w:rsidRPr="00EA0843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2F2155" w:rsidRPr="00EA0843">
              <w:rPr>
                <w:rFonts w:ascii="Arial Narrow" w:hAnsi="Arial Narrow"/>
                <w:b/>
                <w:sz w:val="22"/>
                <w:szCs w:val="22"/>
              </w:rPr>
              <w:t>Родина</w:t>
            </w:r>
            <w:r w:rsidR="00632B1E" w:rsidRPr="00EA0843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14:paraId="638CFCB2" w14:textId="77777777" w:rsidR="00632923" w:rsidRPr="00EA0843" w:rsidRDefault="00632923" w:rsidP="00EA08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F001848" w14:textId="77777777" w:rsidR="00632923" w:rsidRPr="00EA0843" w:rsidRDefault="00632923" w:rsidP="00EA08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84A853" w14:textId="77777777" w:rsidR="00632923" w:rsidRPr="00EA0843" w:rsidRDefault="00632923" w:rsidP="00EA084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D5C50F" w14:textId="681D5689" w:rsidR="00632923" w:rsidRPr="00EA0843" w:rsidRDefault="00632923" w:rsidP="00EA084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A0843">
              <w:rPr>
                <w:rFonts w:ascii="Arial Narrow" w:hAnsi="Arial Narrow"/>
                <w:b/>
                <w:sz w:val="22"/>
                <w:szCs w:val="22"/>
              </w:rPr>
              <w:t>м.п.</w:t>
            </w:r>
          </w:p>
        </w:tc>
        <w:tc>
          <w:tcPr>
            <w:tcW w:w="3614" w:type="dxa"/>
          </w:tcPr>
          <w:p w14:paraId="5EF5DAEA" w14:textId="77777777" w:rsidR="006B4211" w:rsidRPr="00EA0843" w:rsidRDefault="006B4211" w:rsidP="00EA084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985D7A" w14:textId="77777777" w:rsidR="001073B4" w:rsidRPr="00EA0843" w:rsidRDefault="002D5BAC" w:rsidP="00EA084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A0843">
              <w:rPr>
                <w:rFonts w:ascii="Arial Narrow" w:hAnsi="Arial Narrow"/>
                <w:b/>
                <w:sz w:val="22"/>
                <w:szCs w:val="22"/>
              </w:rPr>
              <w:t>Ахиджанов А.Э.</w:t>
            </w:r>
          </w:p>
          <w:p w14:paraId="18DC36A0" w14:textId="1A967878" w:rsidR="00B50A43" w:rsidRPr="00EA0843" w:rsidRDefault="00B50A43" w:rsidP="00EA084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78B2A4" w14:textId="77777777" w:rsidR="00443609" w:rsidRPr="00EA0843" w:rsidRDefault="00443609" w:rsidP="00EA0843">
      <w:pPr>
        <w:rPr>
          <w:rFonts w:ascii="Arial Narrow" w:hAnsi="Arial Narrow"/>
          <w:b/>
          <w:sz w:val="22"/>
          <w:szCs w:val="22"/>
        </w:rPr>
      </w:pPr>
    </w:p>
    <w:p w14:paraId="331EB4F3" w14:textId="35CE4503" w:rsidR="001D5652" w:rsidRPr="00EA0843" w:rsidRDefault="001D5652" w:rsidP="00EA0843">
      <w:pPr>
        <w:rPr>
          <w:rFonts w:ascii="Arial Narrow" w:hAnsi="Arial Narrow"/>
          <w:b/>
          <w:sz w:val="22"/>
          <w:szCs w:val="22"/>
        </w:rPr>
      </w:pPr>
    </w:p>
    <w:sectPr w:rsidR="001D5652" w:rsidRPr="00EA0843" w:rsidSect="00C365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BE396" w14:textId="77777777" w:rsidR="00B07D16" w:rsidRDefault="00B07D16" w:rsidP="00F13065">
      <w:r>
        <w:separator/>
      </w:r>
    </w:p>
  </w:endnote>
  <w:endnote w:type="continuationSeparator" w:id="0">
    <w:p w14:paraId="0F36F66C" w14:textId="77777777" w:rsidR="00B07D16" w:rsidRDefault="00B07D16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5F92E" w14:textId="77777777" w:rsidR="00B07D16" w:rsidRDefault="00B07D16" w:rsidP="00F13065">
      <w:r>
        <w:separator/>
      </w:r>
    </w:p>
  </w:footnote>
  <w:footnote w:type="continuationSeparator" w:id="0">
    <w:p w14:paraId="1F67CCAA" w14:textId="77777777" w:rsidR="00B07D16" w:rsidRDefault="00B07D16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523"/>
    <w:multiLevelType w:val="hybridMultilevel"/>
    <w:tmpl w:val="F25087B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46706DB"/>
    <w:multiLevelType w:val="hybridMultilevel"/>
    <w:tmpl w:val="4D26F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1301"/>
    <w:multiLevelType w:val="hybridMultilevel"/>
    <w:tmpl w:val="88D00A2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4ED9"/>
    <w:multiLevelType w:val="hybridMultilevel"/>
    <w:tmpl w:val="3E7C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7EC5"/>
    <w:multiLevelType w:val="hybridMultilevel"/>
    <w:tmpl w:val="51C4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97AD5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65E93"/>
    <w:multiLevelType w:val="hybridMultilevel"/>
    <w:tmpl w:val="418E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0B12"/>
    <w:multiLevelType w:val="hybridMultilevel"/>
    <w:tmpl w:val="18E456FC"/>
    <w:lvl w:ilvl="0" w:tplc="037AB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2AA47C8"/>
    <w:multiLevelType w:val="hybridMultilevel"/>
    <w:tmpl w:val="EB12C3FA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60D8D"/>
    <w:multiLevelType w:val="hybridMultilevel"/>
    <w:tmpl w:val="1476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207E8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D47EF"/>
    <w:multiLevelType w:val="hybridMultilevel"/>
    <w:tmpl w:val="CE7C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E339E"/>
    <w:multiLevelType w:val="hybridMultilevel"/>
    <w:tmpl w:val="D96C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A6131"/>
    <w:multiLevelType w:val="hybridMultilevel"/>
    <w:tmpl w:val="CC1A7BE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76CFD"/>
    <w:multiLevelType w:val="hybridMultilevel"/>
    <w:tmpl w:val="E37E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87341"/>
    <w:multiLevelType w:val="hybridMultilevel"/>
    <w:tmpl w:val="C4F8E062"/>
    <w:lvl w:ilvl="0" w:tplc="EB54808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F3A3D"/>
    <w:multiLevelType w:val="hybridMultilevel"/>
    <w:tmpl w:val="939C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04895"/>
    <w:multiLevelType w:val="hybridMultilevel"/>
    <w:tmpl w:val="9BA6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D699B"/>
    <w:multiLevelType w:val="hybridMultilevel"/>
    <w:tmpl w:val="736C78B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6406A"/>
    <w:multiLevelType w:val="hybridMultilevel"/>
    <w:tmpl w:val="D76E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00FE4"/>
    <w:multiLevelType w:val="hybridMultilevel"/>
    <w:tmpl w:val="9DBE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D2455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94ACB"/>
    <w:multiLevelType w:val="hybridMultilevel"/>
    <w:tmpl w:val="FF0C064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150D3"/>
    <w:multiLevelType w:val="hybridMultilevel"/>
    <w:tmpl w:val="0ADE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A476F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C5FEC"/>
    <w:multiLevelType w:val="hybridMultilevel"/>
    <w:tmpl w:val="677EAD2E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86C56"/>
    <w:multiLevelType w:val="multilevel"/>
    <w:tmpl w:val="EC9A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593B0096"/>
    <w:multiLevelType w:val="hybridMultilevel"/>
    <w:tmpl w:val="41C2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415B8"/>
    <w:multiLevelType w:val="hybridMultilevel"/>
    <w:tmpl w:val="F1C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63068"/>
    <w:multiLevelType w:val="hybridMultilevel"/>
    <w:tmpl w:val="F1F4C730"/>
    <w:lvl w:ilvl="0" w:tplc="21867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A1F92"/>
    <w:multiLevelType w:val="hybridMultilevel"/>
    <w:tmpl w:val="78F0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A447B"/>
    <w:multiLevelType w:val="hybridMultilevel"/>
    <w:tmpl w:val="0C88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567AF"/>
    <w:multiLevelType w:val="hybridMultilevel"/>
    <w:tmpl w:val="BB4E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7469C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06EF5"/>
    <w:multiLevelType w:val="hybridMultilevel"/>
    <w:tmpl w:val="D6A8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37E75"/>
    <w:multiLevelType w:val="hybridMultilevel"/>
    <w:tmpl w:val="63E2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A26A2"/>
    <w:multiLevelType w:val="hybridMultilevel"/>
    <w:tmpl w:val="86BA2FB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B8E6614"/>
    <w:multiLevelType w:val="hybridMultilevel"/>
    <w:tmpl w:val="9A5AF2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F80568C"/>
    <w:multiLevelType w:val="hybridMultilevel"/>
    <w:tmpl w:val="173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30C4B"/>
    <w:multiLevelType w:val="hybridMultilevel"/>
    <w:tmpl w:val="ACB069B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C1E40"/>
    <w:multiLevelType w:val="multilevel"/>
    <w:tmpl w:val="26CC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1" w15:restartNumberingAfterBreak="0">
    <w:nsid w:val="71A92F10"/>
    <w:multiLevelType w:val="hybridMultilevel"/>
    <w:tmpl w:val="8A1E2B3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16CE1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863F4"/>
    <w:multiLevelType w:val="hybridMultilevel"/>
    <w:tmpl w:val="A010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9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"/>
  </w:num>
  <w:num w:numId="7">
    <w:abstractNumId w:val="2"/>
  </w:num>
  <w:num w:numId="8">
    <w:abstractNumId w:val="43"/>
  </w:num>
  <w:num w:numId="9">
    <w:abstractNumId w:val="15"/>
  </w:num>
  <w:num w:numId="10">
    <w:abstractNumId w:val="33"/>
  </w:num>
  <w:num w:numId="11">
    <w:abstractNumId w:val="10"/>
  </w:num>
  <w:num w:numId="12">
    <w:abstractNumId w:val="42"/>
  </w:num>
  <w:num w:numId="13">
    <w:abstractNumId w:val="30"/>
  </w:num>
  <w:num w:numId="14">
    <w:abstractNumId w:val="17"/>
  </w:num>
  <w:num w:numId="15">
    <w:abstractNumId w:val="16"/>
  </w:num>
  <w:num w:numId="16">
    <w:abstractNumId w:val="31"/>
  </w:num>
  <w:num w:numId="17">
    <w:abstractNumId w:val="13"/>
  </w:num>
  <w:num w:numId="18">
    <w:abstractNumId w:val="39"/>
  </w:num>
  <w:num w:numId="19">
    <w:abstractNumId w:val="8"/>
  </w:num>
  <w:num w:numId="20">
    <w:abstractNumId w:val="41"/>
  </w:num>
  <w:num w:numId="21">
    <w:abstractNumId w:val="25"/>
  </w:num>
  <w:num w:numId="22">
    <w:abstractNumId w:val="26"/>
  </w:num>
  <w:num w:numId="23">
    <w:abstractNumId w:val="40"/>
  </w:num>
  <w:num w:numId="24">
    <w:abstractNumId w:val="32"/>
  </w:num>
  <w:num w:numId="25">
    <w:abstractNumId w:val="12"/>
  </w:num>
  <w:num w:numId="26">
    <w:abstractNumId w:val="7"/>
  </w:num>
  <w:num w:numId="27">
    <w:abstractNumId w:val="37"/>
  </w:num>
  <w:num w:numId="28">
    <w:abstractNumId w:val="21"/>
  </w:num>
  <w:num w:numId="29">
    <w:abstractNumId w:val="24"/>
  </w:num>
  <w:num w:numId="30">
    <w:abstractNumId w:val="6"/>
  </w:num>
  <w:num w:numId="31">
    <w:abstractNumId w:val="23"/>
  </w:num>
  <w:num w:numId="32">
    <w:abstractNumId w:val="5"/>
  </w:num>
  <w:num w:numId="33">
    <w:abstractNumId w:val="14"/>
  </w:num>
  <w:num w:numId="34">
    <w:abstractNumId w:val="3"/>
  </w:num>
  <w:num w:numId="35">
    <w:abstractNumId w:val="34"/>
  </w:num>
  <w:num w:numId="36">
    <w:abstractNumId w:val="9"/>
  </w:num>
  <w:num w:numId="37">
    <w:abstractNumId w:val="11"/>
  </w:num>
  <w:num w:numId="38">
    <w:abstractNumId w:val="19"/>
  </w:num>
  <w:num w:numId="39">
    <w:abstractNumId w:val="38"/>
  </w:num>
  <w:num w:numId="40">
    <w:abstractNumId w:val="36"/>
  </w:num>
  <w:num w:numId="41">
    <w:abstractNumId w:val="4"/>
  </w:num>
  <w:num w:numId="42">
    <w:abstractNumId w:val="35"/>
  </w:num>
  <w:num w:numId="43">
    <w:abstractNumId w:val="27"/>
  </w:num>
  <w:num w:numId="44">
    <w:abstractNumId w:val="0"/>
  </w:num>
  <w:num w:numId="4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220EF"/>
    <w:rsid w:val="00024F39"/>
    <w:rsid w:val="00025068"/>
    <w:rsid w:val="000775CE"/>
    <w:rsid w:val="000809C9"/>
    <w:rsid w:val="000828CD"/>
    <w:rsid w:val="00093BA6"/>
    <w:rsid w:val="00096B37"/>
    <w:rsid w:val="00097BEC"/>
    <w:rsid w:val="000C6F54"/>
    <w:rsid w:val="000D0BE1"/>
    <w:rsid w:val="000E03E8"/>
    <w:rsid w:val="000E3B2E"/>
    <w:rsid w:val="001073B4"/>
    <w:rsid w:val="001324CB"/>
    <w:rsid w:val="0013497F"/>
    <w:rsid w:val="00140AB2"/>
    <w:rsid w:val="00142D2C"/>
    <w:rsid w:val="0015496E"/>
    <w:rsid w:val="0016228B"/>
    <w:rsid w:val="001648C5"/>
    <w:rsid w:val="00165192"/>
    <w:rsid w:val="0017212C"/>
    <w:rsid w:val="0017615E"/>
    <w:rsid w:val="001873D1"/>
    <w:rsid w:val="00196082"/>
    <w:rsid w:val="001A36CA"/>
    <w:rsid w:val="001D5652"/>
    <w:rsid w:val="001E07A0"/>
    <w:rsid w:val="001F326D"/>
    <w:rsid w:val="00205DCB"/>
    <w:rsid w:val="00211DB4"/>
    <w:rsid w:val="002123B5"/>
    <w:rsid w:val="00215905"/>
    <w:rsid w:val="00216084"/>
    <w:rsid w:val="00235595"/>
    <w:rsid w:val="002533DF"/>
    <w:rsid w:val="002613D2"/>
    <w:rsid w:val="00264C1C"/>
    <w:rsid w:val="002665B0"/>
    <w:rsid w:val="002929BD"/>
    <w:rsid w:val="002A02E8"/>
    <w:rsid w:val="002A1388"/>
    <w:rsid w:val="002C19E3"/>
    <w:rsid w:val="002D37CA"/>
    <w:rsid w:val="002D46C3"/>
    <w:rsid w:val="002D5BAC"/>
    <w:rsid w:val="002F2155"/>
    <w:rsid w:val="002F2360"/>
    <w:rsid w:val="00303239"/>
    <w:rsid w:val="00303AFC"/>
    <w:rsid w:val="00304D51"/>
    <w:rsid w:val="003068E1"/>
    <w:rsid w:val="00307FE6"/>
    <w:rsid w:val="003170F2"/>
    <w:rsid w:val="00323AE9"/>
    <w:rsid w:val="00331A0E"/>
    <w:rsid w:val="00352F95"/>
    <w:rsid w:val="00362AE3"/>
    <w:rsid w:val="00363DF7"/>
    <w:rsid w:val="0037107D"/>
    <w:rsid w:val="003904CB"/>
    <w:rsid w:val="003925BA"/>
    <w:rsid w:val="00394C82"/>
    <w:rsid w:val="0039524C"/>
    <w:rsid w:val="003A4F33"/>
    <w:rsid w:val="003B0721"/>
    <w:rsid w:val="003C7EA1"/>
    <w:rsid w:val="003E3B1C"/>
    <w:rsid w:val="0040429E"/>
    <w:rsid w:val="00413EBB"/>
    <w:rsid w:val="0041524C"/>
    <w:rsid w:val="004374AF"/>
    <w:rsid w:val="00443609"/>
    <w:rsid w:val="004471DA"/>
    <w:rsid w:val="004632F7"/>
    <w:rsid w:val="00470F0C"/>
    <w:rsid w:val="00474C32"/>
    <w:rsid w:val="004A5852"/>
    <w:rsid w:val="004A6C35"/>
    <w:rsid w:val="004E458C"/>
    <w:rsid w:val="004F0EC5"/>
    <w:rsid w:val="004F4673"/>
    <w:rsid w:val="004F770D"/>
    <w:rsid w:val="0050360D"/>
    <w:rsid w:val="00506D2D"/>
    <w:rsid w:val="005116BF"/>
    <w:rsid w:val="00522232"/>
    <w:rsid w:val="005318FD"/>
    <w:rsid w:val="00543A7E"/>
    <w:rsid w:val="005451B7"/>
    <w:rsid w:val="005602DE"/>
    <w:rsid w:val="00563A3E"/>
    <w:rsid w:val="0057398B"/>
    <w:rsid w:val="00574A6C"/>
    <w:rsid w:val="0059305D"/>
    <w:rsid w:val="0059597F"/>
    <w:rsid w:val="005A49DE"/>
    <w:rsid w:val="005A4C64"/>
    <w:rsid w:val="005B480D"/>
    <w:rsid w:val="005D786F"/>
    <w:rsid w:val="005F2B50"/>
    <w:rsid w:val="005F6F55"/>
    <w:rsid w:val="00614EE5"/>
    <w:rsid w:val="0062269E"/>
    <w:rsid w:val="00624B95"/>
    <w:rsid w:val="00632923"/>
    <w:rsid w:val="00632B1E"/>
    <w:rsid w:val="00634D63"/>
    <w:rsid w:val="006435CA"/>
    <w:rsid w:val="00650F1E"/>
    <w:rsid w:val="00653102"/>
    <w:rsid w:val="00664C6C"/>
    <w:rsid w:val="00670587"/>
    <w:rsid w:val="00690BB2"/>
    <w:rsid w:val="006A1F46"/>
    <w:rsid w:val="006B4211"/>
    <w:rsid w:val="006B6ABF"/>
    <w:rsid w:val="006E7DF8"/>
    <w:rsid w:val="007248D0"/>
    <w:rsid w:val="0073088B"/>
    <w:rsid w:val="00731A8E"/>
    <w:rsid w:val="00734C3E"/>
    <w:rsid w:val="00735EDB"/>
    <w:rsid w:val="00736583"/>
    <w:rsid w:val="00737791"/>
    <w:rsid w:val="00740512"/>
    <w:rsid w:val="00745E7B"/>
    <w:rsid w:val="007468E9"/>
    <w:rsid w:val="00763685"/>
    <w:rsid w:val="0076764D"/>
    <w:rsid w:val="00777106"/>
    <w:rsid w:val="0079236F"/>
    <w:rsid w:val="00793361"/>
    <w:rsid w:val="00796E61"/>
    <w:rsid w:val="007A01B3"/>
    <w:rsid w:val="007A368A"/>
    <w:rsid w:val="007B35B6"/>
    <w:rsid w:val="007C273A"/>
    <w:rsid w:val="007D1E39"/>
    <w:rsid w:val="007D4B81"/>
    <w:rsid w:val="007E1B89"/>
    <w:rsid w:val="007F085E"/>
    <w:rsid w:val="007F3582"/>
    <w:rsid w:val="008006D3"/>
    <w:rsid w:val="00814078"/>
    <w:rsid w:val="008273ED"/>
    <w:rsid w:val="008366C4"/>
    <w:rsid w:val="00836C8D"/>
    <w:rsid w:val="00837625"/>
    <w:rsid w:val="008379E0"/>
    <w:rsid w:val="00840F0E"/>
    <w:rsid w:val="008450BF"/>
    <w:rsid w:val="0084621D"/>
    <w:rsid w:val="00850731"/>
    <w:rsid w:val="008511BB"/>
    <w:rsid w:val="008535CA"/>
    <w:rsid w:val="00855203"/>
    <w:rsid w:val="00883ADE"/>
    <w:rsid w:val="00896E83"/>
    <w:rsid w:val="00897706"/>
    <w:rsid w:val="008B3E9F"/>
    <w:rsid w:val="008D152C"/>
    <w:rsid w:val="008E687B"/>
    <w:rsid w:val="008F0B5E"/>
    <w:rsid w:val="009027D7"/>
    <w:rsid w:val="00910740"/>
    <w:rsid w:val="00913DE2"/>
    <w:rsid w:val="00917616"/>
    <w:rsid w:val="00965A95"/>
    <w:rsid w:val="00992486"/>
    <w:rsid w:val="009B7693"/>
    <w:rsid w:val="009E0638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65ED"/>
    <w:rsid w:val="00A67D7B"/>
    <w:rsid w:val="00A704EC"/>
    <w:rsid w:val="00A7501F"/>
    <w:rsid w:val="00A8751C"/>
    <w:rsid w:val="00AA21E2"/>
    <w:rsid w:val="00AE5E20"/>
    <w:rsid w:val="00AF60F6"/>
    <w:rsid w:val="00B051CF"/>
    <w:rsid w:val="00B07D16"/>
    <w:rsid w:val="00B13E15"/>
    <w:rsid w:val="00B352F6"/>
    <w:rsid w:val="00B35EF0"/>
    <w:rsid w:val="00B36F20"/>
    <w:rsid w:val="00B5038B"/>
    <w:rsid w:val="00B50A43"/>
    <w:rsid w:val="00B5280D"/>
    <w:rsid w:val="00B64A7F"/>
    <w:rsid w:val="00B724D3"/>
    <w:rsid w:val="00B75363"/>
    <w:rsid w:val="00B85CE4"/>
    <w:rsid w:val="00B86298"/>
    <w:rsid w:val="00B97743"/>
    <w:rsid w:val="00BA65C7"/>
    <w:rsid w:val="00BB3BCC"/>
    <w:rsid w:val="00BC669A"/>
    <w:rsid w:val="00BD6A40"/>
    <w:rsid w:val="00BF1679"/>
    <w:rsid w:val="00C1111E"/>
    <w:rsid w:val="00C11274"/>
    <w:rsid w:val="00C33DB3"/>
    <w:rsid w:val="00C3656E"/>
    <w:rsid w:val="00C469E1"/>
    <w:rsid w:val="00C5580A"/>
    <w:rsid w:val="00C57532"/>
    <w:rsid w:val="00C76F2C"/>
    <w:rsid w:val="00C8113C"/>
    <w:rsid w:val="00C82591"/>
    <w:rsid w:val="00C86416"/>
    <w:rsid w:val="00C93FC5"/>
    <w:rsid w:val="00C95CED"/>
    <w:rsid w:val="00CB0D82"/>
    <w:rsid w:val="00CC21BD"/>
    <w:rsid w:val="00CD587A"/>
    <w:rsid w:val="00CE004E"/>
    <w:rsid w:val="00CF0DB2"/>
    <w:rsid w:val="00CF0FC6"/>
    <w:rsid w:val="00CF1A8F"/>
    <w:rsid w:val="00CF59B8"/>
    <w:rsid w:val="00CF6A7F"/>
    <w:rsid w:val="00D11840"/>
    <w:rsid w:val="00D12B2F"/>
    <w:rsid w:val="00D1608E"/>
    <w:rsid w:val="00D45920"/>
    <w:rsid w:val="00D753D1"/>
    <w:rsid w:val="00D766AB"/>
    <w:rsid w:val="00D77239"/>
    <w:rsid w:val="00D84029"/>
    <w:rsid w:val="00D87A00"/>
    <w:rsid w:val="00D95FAF"/>
    <w:rsid w:val="00DA6B13"/>
    <w:rsid w:val="00DB0516"/>
    <w:rsid w:val="00DC5AC2"/>
    <w:rsid w:val="00DC7E5C"/>
    <w:rsid w:val="00DD06F2"/>
    <w:rsid w:val="00DD5C2B"/>
    <w:rsid w:val="00DE244F"/>
    <w:rsid w:val="00DE3436"/>
    <w:rsid w:val="00E238E3"/>
    <w:rsid w:val="00E24B9A"/>
    <w:rsid w:val="00E41246"/>
    <w:rsid w:val="00E451F6"/>
    <w:rsid w:val="00E65732"/>
    <w:rsid w:val="00E72695"/>
    <w:rsid w:val="00E75B2F"/>
    <w:rsid w:val="00E83006"/>
    <w:rsid w:val="00EA0843"/>
    <w:rsid w:val="00EC6944"/>
    <w:rsid w:val="00EC79F9"/>
    <w:rsid w:val="00ED2001"/>
    <w:rsid w:val="00EF14EE"/>
    <w:rsid w:val="00F11429"/>
    <w:rsid w:val="00F13065"/>
    <w:rsid w:val="00F23FF6"/>
    <w:rsid w:val="00F3647C"/>
    <w:rsid w:val="00F41E28"/>
    <w:rsid w:val="00F55846"/>
    <w:rsid w:val="00F61A8A"/>
    <w:rsid w:val="00F7450C"/>
    <w:rsid w:val="00F82855"/>
    <w:rsid w:val="00F847C6"/>
    <w:rsid w:val="00F925A8"/>
    <w:rsid w:val="00F957CF"/>
    <w:rsid w:val="00FA1CB5"/>
    <w:rsid w:val="00FA3EC7"/>
    <w:rsid w:val="00FC1A61"/>
    <w:rsid w:val="00FC3C4A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3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123B5"/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8CC8-F1F2-4CF0-8BB0-3B96EBCC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4</cp:revision>
  <cp:lastPrinted>2020-08-21T16:25:00Z</cp:lastPrinted>
  <dcterms:created xsi:type="dcterms:W3CDTF">2022-08-23T09:05:00Z</dcterms:created>
  <dcterms:modified xsi:type="dcterms:W3CDTF">2022-10-24T19:23:00Z</dcterms:modified>
</cp:coreProperties>
</file>